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D9" w:rsidRDefault="00AA1542" w:rsidP="006A4C7C">
      <w:pPr>
        <w:jc w:val="center"/>
        <w:rPr>
          <w:b/>
          <w:sz w:val="36"/>
          <w:szCs w:val="36"/>
        </w:rPr>
      </w:pPr>
      <w:r w:rsidRPr="006A4C7C">
        <w:rPr>
          <w:b/>
          <w:sz w:val="36"/>
          <w:szCs w:val="36"/>
        </w:rPr>
        <w:t>UMIESTNENIE DO ZARIADENIA SOCIÁLNYCH SLUŽIEB</w:t>
      </w:r>
      <w:r w:rsidR="003D69E4" w:rsidRPr="006A4C7C">
        <w:rPr>
          <w:b/>
          <w:sz w:val="36"/>
          <w:szCs w:val="36"/>
        </w:rPr>
        <w:t xml:space="preserve"> – AKO POSTUPOVAŤ </w:t>
      </w:r>
      <w:r w:rsidRPr="006A4C7C">
        <w:rPr>
          <w:b/>
          <w:sz w:val="36"/>
          <w:szCs w:val="36"/>
        </w:rPr>
        <w:t>:</w:t>
      </w:r>
    </w:p>
    <w:p w:rsidR="006A4C7C" w:rsidRPr="006A4C7C" w:rsidRDefault="006A4C7C" w:rsidP="006A4C7C">
      <w:pPr>
        <w:jc w:val="center"/>
        <w:rPr>
          <w:b/>
          <w:sz w:val="36"/>
          <w:szCs w:val="36"/>
        </w:rPr>
      </w:pPr>
    </w:p>
    <w:p w:rsidR="003D69E4" w:rsidRDefault="003D69E4" w:rsidP="006A4C7C">
      <w:pPr>
        <w:jc w:val="both"/>
        <w:rPr>
          <w:b/>
        </w:rPr>
      </w:pPr>
      <w:r>
        <w:rPr>
          <w:b/>
        </w:rPr>
        <w:tab/>
        <w:t>NAJDOLEŽITEJŠÍM KROKOM V CELOM PROCESE JE, ABY ŽIADATEĽ SÁM CHCEL, ABY MU BOLA POSKYTOVANÁ SOCIÁLNA SLUŽBA V ZARIADENÍ SOCIÁLNYCH SLUŽIEB, ČIŽE ABY VEDEL A</w:t>
      </w:r>
      <w:r w:rsidR="006A4C7C">
        <w:rPr>
          <w:b/>
        </w:rPr>
        <w:t xml:space="preserve"> CHCEL ŽIŤ V ZARIADENÍ. POKIAĽ SA SÁM NEVIE ALEBO NEMOŽE PRE SVOJ ZDRAVOTNÝ STAV ROZHODNÚŤ, JE POTREBNÉ, ABY JEHO PRÍBUZNÍ KONALI TAK, ABY TO BOLO PRE SAMOTNÉHO ŽIADATEĽA ČO NAJLEPŠIE. PAMATAŤ, ŽE ON JE V CELOM PROCESE NAJSLABŠÍM ČLÁNKOM A IDE O JEHO DOBRO.  </w:t>
      </w:r>
    </w:p>
    <w:p w:rsidR="006A4C7C" w:rsidRPr="003D69E4" w:rsidRDefault="006A4C7C" w:rsidP="006A4C7C">
      <w:pPr>
        <w:jc w:val="both"/>
        <w:rPr>
          <w:b/>
        </w:rPr>
      </w:pPr>
    </w:p>
    <w:p w:rsidR="00AA1542" w:rsidRPr="00812E90" w:rsidRDefault="00AA1542" w:rsidP="006A4C7C">
      <w:pPr>
        <w:pStyle w:val="Odsekzoznamu"/>
        <w:numPr>
          <w:ilvl w:val="0"/>
          <w:numId w:val="1"/>
        </w:numPr>
        <w:jc w:val="both"/>
        <w:rPr>
          <w:b/>
        </w:rPr>
      </w:pPr>
      <w:r w:rsidRPr="00812E90">
        <w:rPr>
          <w:b/>
        </w:rPr>
        <w:t xml:space="preserve">VYPÍSAŤ ŽIADOST O POSÚDENIE </w:t>
      </w:r>
      <w:r w:rsidR="00FB0CAD" w:rsidRPr="00812E90">
        <w:rPr>
          <w:b/>
        </w:rPr>
        <w:t>ODKÁZANOSTI NA SOCIÁLNU SLUŽBU A LEKÁRSKY NÁLEZ</w:t>
      </w:r>
    </w:p>
    <w:p w:rsidR="00FB0CAD" w:rsidRDefault="00FB0CAD" w:rsidP="006A4C7C">
      <w:pPr>
        <w:jc w:val="both"/>
      </w:pPr>
      <w:r>
        <w:t>Žiadosť o posúdenie odkázanosti – vypísať meno a priezvisko, kontaktné údaje na žiadateľa (osoba, ktorá žiada o posúdenie odkázanosti na sociálnu službu a následne o zabezpečenie – umiestnenie do zariadenia sociálnych služieb), druh dôchodku a jeho výšku, formu sociálnej služby a najmä druh sociálnej služby, na ktorú má byť žiadateľ posudzovaný</w:t>
      </w:r>
      <w:r w:rsidR="00B67E15">
        <w:t>. Druhy poskytovanej služby</w:t>
      </w:r>
      <w:r>
        <w:t xml:space="preserve">: </w:t>
      </w:r>
    </w:p>
    <w:p w:rsidR="00FB0CAD" w:rsidRDefault="00FB0CAD" w:rsidP="006A4C7C">
      <w:pPr>
        <w:pStyle w:val="Odsekzoznamu"/>
        <w:numPr>
          <w:ilvl w:val="0"/>
          <w:numId w:val="2"/>
        </w:numPr>
        <w:jc w:val="both"/>
      </w:pPr>
      <w:r>
        <w:t>Domov sociálnych služieb</w:t>
      </w:r>
    </w:p>
    <w:p w:rsidR="00FB0CAD" w:rsidRDefault="00FB0CAD" w:rsidP="006A4C7C">
      <w:pPr>
        <w:pStyle w:val="Odsekzoznamu"/>
        <w:numPr>
          <w:ilvl w:val="0"/>
          <w:numId w:val="2"/>
        </w:numPr>
        <w:jc w:val="both"/>
      </w:pPr>
      <w:r>
        <w:t>Špecializované zariadenia</w:t>
      </w:r>
    </w:p>
    <w:p w:rsidR="00FB0CAD" w:rsidRDefault="00FB0CAD" w:rsidP="006A4C7C">
      <w:pPr>
        <w:pStyle w:val="Odsekzoznamu"/>
        <w:numPr>
          <w:ilvl w:val="0"/>
          <w:numId w:val="2"/>
        </w:numPr>
        <w:jc w:val="both"/>
      </w:pPr>
      <w:r>
        <w:t>Zariadenie podporovaného bývania</w:t>
      </w:r>
    </w:p>
    <w:p w:rsidR="007D1515" w:rsidRDefault="00FB0CAD" w:rsidP="006A4C7C">
      <w:pPr>
        <w:pStyle w:val="Odsekzoznamu"/>
        <w:numPr>
          <w:ilvl w:val="0"/>
          <w:numId w:val="2"/>
        </w:numPr>
        <w:jc w:val="both"/>
      </w:pPr>
      <w:r>
        <w:t>Rehabilitačné stredisko</w:t>
      </w:r>
    </w:p>
    <w:p w:rsidR="00CC5002" w:rsidRDefault="00CC5002" w:rsidP="006A4C7C">
      <w:pPr>
        <w:jc w:val="both"/>
      </w:pPr>
      <w:r>
        <w:t xml:space="preserve">Domov sociálnych služieb – tu sa poskytuje sociálna služba týždennou pobytovou sociálnou službou alebo ambulantnou sociálnou službou fyzickej osobe do dovŕšenia dôchodkového veku, ak táto fyzická osoba je odkázaná na pomoc inej fyzickej osoby a jej stupeň odkázanosti je najmenej V alebo je to osoba </w:t>
      </w:r>
      <w:proofErr w:type="spellStart"/>
      <w:r>
        <w:t>nevidiaca</w:t>
      </w:r>
      <w:proofErr w:type="spellEnd"/>
      <w:r>
        <w:t xml:space="preserve"> alebo prakticky </w:t>
      </w:r>
      <w:proofErr w:type="spellStart"/>
      <w:r>
        <w:t>nevidiaca</w:t>
      </w:r>
      <w:proofErr w:type="spellEnd"/>
      <w:r>
        <w:t xml:space="preserve"> a jej stupeň odkázanosti je najmenej III</w:t>
      </w:r>
    </w:p>
    <w:p w:rsidR="00401F6C" w:rsidRDefault="00401F6C" w:rsidP="006A4C7C">
      <w:pPr>
        <w:jc w:val="both"/>
      </w:pPr>
      <w:r>
        <w:t xml:space="preserve">Špecializované zariadenie – tu sa poskytuje sociálna služba fyzickej osobe, ktorá je odkázaná na pomoc </w:t>
      </w:r>
      <w:r w:rsidR="00585562">
        <w:t xml:space="preserve">inej fyzickej osoby, jej stupeň odkázanosti je najmenej V a má zdravotné postihnutie, ktorým je najmä </w:t>
      </w:r>
      <w:proofErr w:type="spellStart"/>
      <w:r w:rsidR="00585562">
        <w:t>Parkinsonova</w:t>
      </w:r>
      <w:proofErr w:type="spellEnd"/>
      <w:r w:rsidR="00585562">
        <w:t xml:space="preserve"> choroba, </w:t>
      </w:r>
      <w:proofErr w:type="spellStart"/>
      <w:r w:rsidR="00585562">
        <w:t>Alzheimerova</w:t>
      </w:r>
      <w:proofErr w:type="spellEnd"/>
      <w:r w:rsidR="00585562">
        <w:t xml:space="preserve"> choroba, </w:t>
      </w:r>
      <w:proofErr w:type="spellStart"/>
      <w:r w:rsidR="00585562">
        <w:t>pervazívna</w:t>
      </w:r>
      <w:proofErr w:type="spellEnd"/>
      <w:r w:rsidR="00585562">
        <w:t xml:space="preserve"> vývinová porucha, skleróza </w:t>
      </w:r>
      <w:proofErr w:type="spellStart"/>
      <w:r w:rsidR="00585562">
        <w:t>multiplex</w:t>
      </w:r>
      <w:proofErr w:type="spellEnd"/>
      <w:r w:rsidR="00585562">
        <w:t xml:space="preserve">, schizofrénia, demencia rôzneho typu etiológie, </w:t>
      </w:r>
      <w:proofErr w:type="spellStart"/>
      <w:r w:rsidR="00585562">
        <w:t>hluchoslepota</w:t>
      </w:r>
      <w:proofErr w:type="spellEnd"/>
      <w:r w:rsidR="00585562">
        <w:t xml:space="preserve">, AIDS alebo organický </w:t>
      </w:r>
      <w:proofErr w:type="spellStart"/>
      <w:r w:rsidR="00585562">
        <w:t>psychosyndróm</w:t>
      </w:r>
      <w:proofErr w:type="spellEnd"/>
      <w:r w:rsidR="00585562">
        <w:t xml:space="preserve"> ťažkého stupňa.</w:t>
      </w:r>
      <w:r w:rsidR="00CB05C5">
        <w:t xml:space="preserve"> </w:t>
      </w:r>
    </w:p>
    <w:p w:rsidR="00585562" w:rsidRDefault="00585562" w:rsidP="006A4C7C">
      <w:pPr>
        <w:jc w:val="both"/>
      </w:pPr>
      <w:r>
        <w:lastRenderedPageBreak/>
        <w:t xml:space="preserve">Zariadenie podporovaného bývania </w:t>
      </w:r>
      <w:r w:rsidR="00E73A5C">
        <w:t>–</w:t>
      </w:r>
      <w:r>
        <w:t xml:space="preserve"> </w:t>
      </w:r>
      <w:r w:rsidR="00E73A5C">
        <w:t>tu sa poskytuje sociálna služba fyzickej osobe od 16. Roku veku do dovŕšenia dôchodkového veku, ak je táto osoba odkázaná na pomoc inej fyzickej osobe a na dohľad, pod ktorým je schopná viesť samostatný život. Ak fyzická osoba dovŕši dôchodkový vek počas poskytovania sociálnej služby v zariadení podporovaného bývania, táto služba sa poskytuje aj naďalej.</w:t>
      </w:r>
    </w:p>
    <w:p w:rsidR="00E73A5C" w:rsidRDefault="00E73A5C" w:rsidP="006A4C7C">
      <w:pPr>
        <w:jc w:val="both"/>
      </w:pPr>
      <w:r>
        <w:t>Rehabilitačné stredisko – tu sa poskytuje sociálna služba osobe, ktorá je odkázaná na pomoc inej fyzickej osoby, ktorá je slabozraká, nepočujúca alebo má ťažkú obojstrannú nedoslýchavosť</w:t>
      </w:r>
    </w:p>
    <w:p w:rsidR="00E73A5C" w:rsidRDefault="00E73A5C" w:rsidP="006A4C7C">
      <w:pPr>
        <w:jc w:val="both"/>
      </w:pPr>
      <w:r>
        <w:t>Zariadenie pre seniorov – tu sa poskytuje sociálna služba osobe, ktorá dovŕšila dôchodkový vek a je odkázaná na pomoc inej fyzickej osoby a jej stupeň odkázanosti je najmenej IV alebo ktorá dovŕšila dôchodkový vek a poskytovanie sociálnej služby v takomto zariadení potrebuje z iných závažných dôvodov.</w:t>
      </w:r>
    </w:p>
    <w:p w:rsidR="00B67E15" w:rsidRDefault="00B67E15" w:rsidP="006A4C7C">
      <w:pPr>
        <w:jc w:val="both"/>
      </w:pPr>
    </w:p>
    <w:p w:rsidR="00B67E15" w:rsidRDefault="00B67E15" w:rsidP="006A4C7C">
      <w:pPr>
        <w:jc w:val="both"/>
      </w:pPr>
      <w:r>
        <w:t xml:space="preserve">Ak má byť žiadateľ posudzovaný na domov sociálnych služieb, špecializované zariadenie, zariadenie podporovaného bývania, rehabilitačné stredisko, žiadosť o posúdenie odkázanosti na sociálnu službu sa posiela na príslušný Vyšší územný celok. </w:t>
      </w:r>
      <w:r w:rsidR="0078507A">
        <w:t xml:space="preserve">To, ku ktorému úradu Vyššieho územného celku patríte, sa určuje podľa trvalého bydliska žiadateľa. </w:t>
      </w:r>
    </w:p>
    <w:p w:rsidR="00B67E15" w:rsidRPr="003D69E4" w:rsidRDefault="00B67E15" w:rsidP="006A4C7C">
      <w:pPr>
        <w:jc w:val="both"/>
        <w:rPr>
          <w:b/>
        </w:rPr>
      </w:pPr>
      <w:r w:rsidRPr="003D69E4">
        <w:rPr>
          <w:b/>
        </w:rPr>
        <w:t xml:space="preserve">Trenčiansky samosprávny kraj </w:t>
      </w:r>
      <w:r w:rsidR="00F27FF9">
        <w:rPr>
          <w:b/>
        </w:rPr>
        <w:t xml:space="preserve">  </w:t>
      </w:r>
      <w:r w:rsidR="00F27FF9">
        <w:rPr>
          <w:b/>
        </w:rPr>
        <w:tab/>
      </w:r>
      <w:r w:rsidR="00F27FF9">
        <w:rPr>
          <w:b/>
        </w:rPr>
        <w:tab/>
      </w:r>
      <w:r w:rsidR="00F27FF9">
        <w:rPr>
          <w:b/>
        </w:rPr>
        <w:tab/>
      </w:r>
      <w:r w:rsidR="00F27FF9">
        <w:rPr>
          <w:b/>
        </w:rPr>
        <w:tab/>
      </w:r>
      <w:r w:rsidR="00F27FF9">
        <w:rPr>
          <w:b/>
        </w:rPr>
        <w:tab/>
      </w:r>
      <w:r w:rsidR="00F27FF9">
        <w:rPr>
          <w:b/>
        </w:rPr>
        <w:tab/>
      </w:r>
      <w:r w:rsidR="00F27FF9">
        <w:rPr>
          <w:b/>
        </w:rPr>
        <w:tab/>
      </w:r>
      <w:r w:rsidR="005B1BA9" w:rsidRPr="003D69E4">
        <w:rPr>
          <w:b/>
        </w:rPr>
        <w:t>Nitriansky samosprávny kraj</w:t>
      </w:r>
    </w:p>
    <w:p w:rsidR="00FB4B71" w:rsidRPr="003D69E4" w:rsidRDefault="00FB4B71" w:rsidP="006A4C7C">
      <w:pPr>
        <w:jc w:val="both"/>
        <w:rPr>
          <w:b/>
        </w:rPr>
      </w:pPr>
      <w:r w:rsidRPr="003D69E4">
        <w:rPr>
          <w:b/>
        </w:rPr>
        <w:t>K dolnej stanici 7282/20 A</w:t>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t>Rázusova 2A</w:t>
      </w:r>
    </w:p>
    <w:p w:rsidR="00FB4B71" w:rsidRPr="003D69E4" w:rsidRDefault="00FB4B71" w:rsidP="006A4C7C">
      <w:pPr>
        <w:jc w:val="both"/>
        <w:rPr>
          <w:b/>
        </w:rPr>
      </w:pPr>
      <w:r w:rsidRPr="003D69E4">
        <w:rPr>
          <w:b/>
        </w:rPr>
        <w:t>911 01 Trenčín</w:t>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r>
      <w:r w:rsidR="005B1BA9" w:rsidRPr="003D69E4">
        <w:rPr>
          <w:b/>
        </w:rPr>
        <w:tab/>
        <w:t xml:space="preserve">949 01 Nitra </w:t>
      </w:r>
    </w:p>
    <w:p w:rsidR="005B1BA9" w:rsidRPr="003D69E4" w:rsidRDefault="005B1BA9" w:rsidP="006A4C7C">
      <w:pPr>
        <w:jc w:val="both"/>
        <w:rPr>
          <w:b/>
        </w:rPr>
      </w:pPr>
      <w:r w:rsidRPr="003D69E4">
        <w:rPr>
          <w:b/>
        </w:rPr>
        <w:t xml:space="preserve">Tel.: 032/ 655 55 61, 655 55 67, 655 55 69 </w:t>
      </w:r>
      <w:r w:rsidRPr="003D69E4">
        <w:rPr>
          <w:b/>
        </w:rPr>
        <w:tab/>
      </w:r>
      <w:r w:rsidRPr="003D69E4">
        <w:rPr>
          <w:b/>
        </w:rPr>
        <w:tab/>
      </w:r>
      <w:r w:rsidRPr="003D69E4">
        <w:rPr>
          <w:b/>
        </w:rPr>
        <w:tab/>
      </w:r>
      <w:r w:rsidRPr="003D69E4">
        <w:rPr>
          <w:b/>
        </w:rPr>
        <w:tab/>
      </w:r>
      <w:r w:rsidRPr="003D69E4">
        <w:rPr>
          <w:b/>
        </w:rPr>
        <w:tab/>
      </w:r>
      <w:r w:rsidRPr="003D69E4">
        <w:rPr>
          <w:b/>
        </w:rPr>
        <w:tab/>
        <w:t>Tel.: 037/</w:t>
      </w:r>
      <w:r w:rsidR="00FF6D63" w:rsidRPr="003D69E4">
        <w:rPr>
          <w:b/>
        </w:rPr>
        <w:t>6922901, 6922958, 6922995</w:t>
      </w:r>
    </w:p>
    <w:p w:rsidR="00FF6D63" w:rsidRDefault="00FF6D63" w:rsidP="006A4C7C">
      <w:pPr>
        <w:jc w:val="both"/>
      </w:pPr>
      <w:r>
        <w:t>Na daných telefónnych číslach poskytnú aj sociálne poradenstvo v prípade akýchkoľvek otázok</w:t>
      </w:r>
    </w:p>
    <w:p w:rsidR="0078507A" w:rsidRDefault="0078507A" w:rsidP="006A4C7C">
      <w:pPr>
        <w:jc w:val="both"/>
      </w:pPr>
      <w:r>
        <w:t xml:space="preserve">V prípade, ak žiadateľ žiada o posúdenie odkázanosti na sociálnu </w:t>
      </w:r>
      <w:r w:rsidR="000B639C">
        <w:t xml:space="preserve">službu zariadenie pre seniorov, (ďalej tiež zariadenie opatrovateľskej služby, denný stacionár, opatrovateľskú službu) </w:t>
      </w:r>
      <w:r>
        <w:t xml:space="preserve">podáva žiadosť na príslušný mestský úrad, prípadne obecný úrad v mieste trvalého bydliska. </w:t>
      </w:r>
    </w:p>
    <w:p w:rsidR="006D741A" w:rsidRDefault="006D741A" w:rsidP="006A4C7C">
      <w:pPr>
        <w:jc w:val="both"/>
      </w:pPr>
    </w:p>
    <w:p w:rsidR="006D741A" w:rsidRDefault="006D741A" w:rsidP="006A4C7C">
      <w:pPr>
        <w:jc w:val="both"/>
      </w:pPr>
    </w:p>
    <w:p w:rsidR="006D741A" w:rsidRDefault="006D741A" w:rsidP="006A4C7C">
      <w:pPr>
        <w:jc w:val="both"/>
      </w:pPr>
    </w:p>
    <w:p w:rsidR="000B639C" w:rsidRPr="00812E90" w:rsidRDefault="0078507A" w:rsidP="006A4C7C">
      <w:pPr>
        <w:pStyle w:val="Odsekzoznamu"/>
        <w:numPr>
          <w:ilvl w:val="0"/>
          <w:numId w:val="1"/>
        </w:numPr>
        <w:jc w:val="both"/>
        <w:rPr>
          <w:b/>
        </w:rPr>
      </w:pPr>
      <w:r w:rsidRPr="00812E90">
        <w:rPr>
          <w:b/>
        </w:rPr>
        <w:lastRenderedPageBreak/>
        <w:t xml:space="preserve">K DANEJ ŽIADOSTI JE POTREBNÝ PRE POSÚDENIE AJ LEKÁRSKY NÁLEZ. </w:t>
      </w:r>
    </w:p>
    <w:p w:rsidR="000B639C" w:rsidRDefault="0078507A" w:rsidP="006A4C7C">
      <w:pPr>
        <w:jc w:val="both"/>
      </w:pPr>
      <w:r>
        <w:t xml:space="preserve">V prípade, že ste </w:t>
      </w:r>
      <w:r w:rsidR="000B639C">
        <w:t xml:space="preserve">z Trenčianskeho kraja, je potrebné k žiadosti o posúdenie odkázanosti na sociálnu službu pripojiť aj: </w:t>
      </w:r>
    </w:p>
    <w:p w:rsidR="000B639C" w:rsidRDefault="000B639C" w:rsidP="006A4C7C">
      <w:pPr>
        <w:pStyle w:val="Odsekzoznamu"/>
        <w:numPr>
          <w:ilvl w:val="0"/>
          <w:numId w:val="2"/>
        </w:numPr>
        <w:jc w:val="both"/>
      </w:pPr>
      <w:r>
        <w:t xml:space="preserve"> potvrdenie od všeobecného lekára o nepriaznivom zdravotnom stave žiadateľa</w:t>
      </w:r>
    </w:p>
    <w:p w:rsidR="000B639C" w:rsidRDefault="000B639C" w:rsidP="006A4C7C">
      <w:pPr>
        <w:pStyle w:val="Odsekzoznamu"/>
        <w:numPr>
          <w:ilvl w:val="0"/>
          <w:numId w:val="2"/>
        </w:numPr>
        <w:jc w:val="both"/>
      </w:pPr>
      <w:r>
        <w:t xml:space="preserve"> výpisy zo zdravotnej dokumentácie žiadateľa nie staršie ako šesť mesiacov</w:t>
      </w:r>
    </w:p>
    <w:p w:rsidR="00FF6D63" w:rsidRDefault="000B639C" w:rsidP="006A4C7C">
      <w:pPr>
        <w:pStyle w:val="Odsekzoznamu"/>
        <w:numPr>
          <w:ilvl w:val="0"/>
          <w:numId w:val="2"/>
        </w:numPr>
        <w:jc w:val="both"/>
      </w:pPr>
      <w:r>
        <w:t xml:space="preserve"> a ak má, tak aj posudok vydaný úradom práce, sociálnych vecí a rodiny na účely kompenzácie sociálnych dôsledkov ťažkého zdravotného postihnutia. </w:t>
      </w:r>
    </w:p>
    <w:p w:rsidR="00812E90" w:rsidRDefault="000B639C" w:rsidP="006A4C7C">
      <w:pPr>
        <w:jc w:val="both"/>
      </w:pPr>
      <w:r>
        <w:t xml:space="preserve">V prípade, že ste z Nitrianskeho kraja, lekársky nález na účely posúdenia odkázanosti na sociálnu službu je súčasťou žiadosti o posúdenie odkázanosti na soc. službu, túto časť všeobecný lekár vyplní a priloží k nej výpisy zo zdravotnej dokumentácie žiadateľa nie staršie ako šesť mesiacov a ak </w:t>
      </w:r>
      <w:r w:rsidR="00812E90">
        <w:t xml:space="preserve">žiadateľ </w:t>
      </w:r>
      <w:r>
        <w:t>má, tak aj posudok vydaný úradom práce, soc. vecí a rodiny na účely kompenzácie sociálnych dôsledkov ťažkého zdravotného postihnutia</w:t>
      </w:r>
    </w:p>
    <w:p w:rsidR="00812E90" w:rsidRDefault="00812E90" w:rsidP="006A4C7C">
      <w:pPr>
        <w:pStyle w:val="Odsekzoznamu"/>
        <w:numPr>
          <w:ilvl w:val="0"/>
          <w:numId w:val="1"/>
        </w:numPr>
        <w:jc w:val="both"/>
      </w:pPr>
      <w:r w:rsidRPr="003D69E4">
        <w:rPr>
          <w:b/>
        </w:rPr>
        <w:t>PRE VYDANIE POSUDKU ODKÁZANOSTI NA SOCIÁLNU SLUŽBU JE POTREBNÝ AJ SOCIÁLNY POSUDOK</w:t>
      </w:r>
      <w:r>
        <w:t xml:space="preserve">. </w:t>
      </w:r>
    </w:p>
    <w:p w:rsidR="00812E90" w:rsidRDefault="00490102" w:rsidP="006A4C7C">
      <w:pPr>
        <w:pStyle w:val="Odsekzoznamu"/>
        <w:jc w:val="both"/>
      </w:pPr>
      <w:r>
        <w:t>Sociálny posudok vypracováva sociálny pracovník obce alebo vyššieho územného celku, ktorý hodnotí rodinné prostredie žiadateľa</w:t>
      </w:r>
      <w:r w:rsidR="002C6B81">
        <w:t xml:space="preserve"> </w:t>
      </w:r>
      <w:r>
        <w:t>,</w:t>
      </w:r>
      <w:r w:rsidR="002C6B81">
        <w:t xml:space="preserve">odkázanosť žiadateľa na pomoc inej fyzickej osoby, </w:t>
      </w:r>
      <w:r>
        <w:t xml:space="preserve"> zhodnocuje schopnosti a možnosti žiadateľa riešiť svoju situ</w:t>
      </w:r>
      <w:r w:rsidR="002C6B81">
        <w:t xml:space="preserve">áciu, okolie žiadateľa, ktoré ovplyvňuje jeho začlenenie do spoločnosti (podmienky bývania, dostupnosť verejných služieb..) </w:t>
      </w:r>
    </w:p>
    <w:p w:rsidR="00892992" w:rsidRDefault="00892992" w:rsidP="006A4C7C">
      <w:pPr>
        <w:pStyle w:val="Odsekzoznamu"/>
        <w:jc w:val="both"/>
      </w:pPr>
    </w:p>
    <w:p w:rsidR="00812E90" w:rsidRPr="003D69E4" w:rsidRDefault="00812E90" w:rsidP="006A4C7C">
      <w:pPr>
        <w:pStyle w:val="Odsekzoznamu"/>
        <w:numPr>
          <w:ilvl w:val="0"/>
          <w:numId w:val="1"/>
        </w:numPr>
        <w:jc w:val="both"/>
        <w:rPr>
          <w:b/>
        </w:rPr>
      </w:pPr>
      <w:r w:rsidRPr="003D69E4">
        <w:rPr>
          <w:b/>
        </w:rPr>
        <w:t>PO VYDANÍ SOCIÁLNEHO A ZDRAVOTNÉHO POSUDKU DANÝ ORGÁN VYDÁ ROZHODNUTIE O ODKÁZANOSTI NA SOCIÁLNU SLUŽBU</w:t>
      </w:r>
    </w:p>
    <w:p w:rsidR="002C6B81" w:rsidRDefault="002C6B81" w:rsidP="006A4C7C">
      <w:pPr>
        <w:pStyle w:val="Odsekzoznamu"/>
        <w:jc w:val="both"/>
      </w:pPr>
      <w:r>
        <w:t xml:space="preserve">Na základe posudkov príslušný orgán vydá Rozhodnutie o odkázanosti na sociálnu službu, ktorý doručí žiadateľovi. Odo dňa doručenia žiadateľovi začne plynúť  30 dňová lehota, počas ktorej sa môže žiadateľ voči rozhodnutiu odvolať. Po uplynutí danej lehoty príslušný úrad vyznačí na Rozhodnutí o odkázanosti na soc. službu právoplatnosť. Ak žiadateľ potrebuje celý proces urýchliť, nie je potrebné čakať celých 30 dní, kým daná lehota na odvolanie uplynie, ale môže sa vzdať práva na odvolanie. V takom prípade stačí, ak osobne pôjde na príslušný úrad a oznámi, že sa vzdáva práva na odvolanie a tam mu na Rozhodnutie o odkázanosti vyznačia právoplatnosť.  </w:t>
      </w:r>
    </w:p>
    <w:p w:rsidR="00892992" w:rsidRDefault="00892992" w:rsidP="006A4C7C">
      <w:pPr>
        <w:pStyle w:val="Odsekzoznamu"/>
        <w:jc w:val="both"/>
      </w:pPr>
    </w:p>
    <w:p w:rsidR="00812E90" w:rsidRPr="003D69E4" w:rsidRDefault="00812E90" w:rsidP="006A4C7C">
      <w:pPr>
        <w:pStyle w:val="Odsekzoznamu"/>
        <w:numPr>
          <w:ilvl w:val="0"/>
          <w:numId w:val="1"/>
        </w:numPr>
        <w:jc w:val="both"/>
        <w:rPr>
          <w:b/>
        </w:rPr>
      </w:pPr>
      <w:r w:rsidRPr="003D69E4">
        <w:rPr>
          <w:b/>
        </w:rPr>
        <w:t xml:space="preserve">ŽIADOSŤ O ZABEZPEČENIE </w:t>
      </w:r>
      <w:r w:rsidR="00892992" w:rsidRPr="003D69E4">
        <w:rPr>
          <w:b/>
        </w:rPr>
        <w:t xml:space="preserve">POSKYTOVANIA </w:t>
      </w:r>
      <w:r w:rsidRPr="003D69E4">
        <w:rPr>
          <w:b/>
        </w:rPr>
        <w:t>SOCIÁLNEJ SLUŽBY</w:t>
      </w:r>
    </w:p>
    <w:p w:rsidR="00892992" w:rsidRDefault="00892992" w:rsidP="006A4C7C">
      <w:pPr>
        <w:pStyle w:val="Odsekzoznamu"/>
        <w:jc w:val="both"/>
      </w:pPr>
      <w:r>
        <w:t>Keď má žiadateľ vybavené doterajšie náležitosti – posudky, rozhodnutie, môže si podať ŽIADOSŤ O ZABEZPEČENIE POSKYTOVANIA SOCIÁLNEJ SLUŽBY. Žiadosť o zabezpečenie sociálnej služby podá buď zariadeniu priamo, kde chce, aby mu bola poskytovaná soc. služba alebo Vyššiemu územnému celku, ktorý žiadosť zaregistruje a v prípade, že sa v zariadení uvoľní miesto, bude žiadateľa kontaktovať.</w:t>
      </w:r>
    </w:p>
    <w:p w:rsidR="00892992" w:rsidRDefault="00892992" w:rsidP="006A4C7C">
      <w:pPr>
        <w:pStyle w:val="Odsekzoznamu"/>
        <w:jc w:val="both"/>
      </w:pPr>
    </w:p>
    <w:p w:rsidR="00812E90" w:rsidRPr="006D741A" w:rsidRDefault="003D69E4" w:rsidP="006D741A">
      <w:pPr>
        <w:jc w:val="both"/>
        <w:rPr>
          <w:b/>
        </w:rPr>
      </w:pPr>
      <w:r w:rsidRPr="006D741A">
        <w:rPr>
          <w:b/>
        </w:rPr>
        <w:lastRenderedPageBreak/>
        <w:t xml:space="preserve">V skratke: </w:t>
      </w:r>
    </w:p>
    <w:p w:rsidR="003D69E4" w:rsidRPr="003D69E4" w:rsidRDefault="003D69E4" w:rsidP="006A4C7C">
      <w:pPr>
        <w:pStyle w:val="Odsekzoznamu"/>
        <w:numPr>
          <w:ilvl w:val="0"/>
          <w:numId w:val="4"/>
        </w:numPr>
        <w:jc w:val="both"/>
        <w:rPr>
          <w:b/>
        </w:rPr>
      </w:pPr>
      <w:r w:rsidRPr="003D69E4">
        <w:rPr>
          <w:b/>
        </w:rPr>
        <w:t>Vypísať žiadosť</w:t>
      </w:r>
    </w:p>
    <w:p w:rsidR="003D69E4" w:rsidRPr="003D69E4" w:rsidRDefault="003D69E4" w:rsidP="006A4C7C">
      <w:pPr>
        <w:pStyle w:val="Odsekzoznamu"/>
        <w:numPr>
          <w:ilvl w:val="0"/>
          <w:numId w:val="4"/>
        </w:numPr>
        <w:jc w:val="both"/>
        <w:rPr>
          <w:b/>
        </w:rPr>
      </w:pPr>
      <w:r w:rsidRPr="003D69E4">
        <w:rPr>
          <w:b/>
        </w:rPr>
        <w:t>Doručiť spolu s lekárskym nálezom príslušnému úradu ( podľa druhu sociálnej služby, na ktorú má byť posudzovaný - VÚC alebo Obecnému úradu, príslušnému podľa miesta trvalého bydliska žiadateľa</w:t>
      </w:r>
    </w:p>
    <w:p w:rsidR="003D69E4" w:rsidRPr="003D69E4" w:rsidRDefault="003D69E4" w:rsidP="006A4C7C">
      <w:pPr>
        <w:pStyle w:val="Odsekzoznamu"/>
        <w:numPr>
          <w:ilvl w:val="0"/>
          <w:numId w:val="4"/>
        </w:numPr>
        <w:jc w:val="both"/>
        <w:rPr>
          <w:b/>
        </w:rPr>
      </w:pPr>
      <w:r w:rsidRPr="003D69E4">
        <w:rPr>
          <w:b/>
        </w:rPr>
        <w:t>Úrad vydá zdravotný a sociálny posudok</w:t>
      </w:r>
    </w:p>
    <w:p w:rsidR="003D69E4" w:rsidRPr="003D69E4" w:rsidRDefault="003D69E4" w:rsidP="006A4C7C">
      <w:pPr>
        <w:pStyle w:val="Odsekzoznamu"/>
        <w:numPr>
          <w:ilvl w:val="0"/>
          <w:numId w:val="4"/>
        </w:numPr>
        <w:jc w:val="both"/>
        <w:rPr>
          <w:b/>
        </w:rPr>
      </w:pPr>
      <w:r w:rsidRPr="003D69E4">
        <w:rPr>
          <w:b/>
        </w:rPr>
        <w:t>Úrad vydá na základe posudkov Rozhodnutie o odkázanosti na soc. službu a doručí žiadateľovi</w:t>
      </w:r>
    </w:p>
    <w:p w:rsidR="003D69E4" w:rsidRPr="003D69E4" w:rsidRDefault="003D69E4" w:rsidP="006A4C7C">
      <w:pPr>
        <w:pStyle w:val="Odsekzoznamu"/>
        <w:numPr>
          <w:ilvl w:val="0"/>
          <w:numId w:val="4"/>
        </w:numPr>
        <w:jc w:val="both"/>
        <w:rPr>
          <w:b/>
        </w:rPr>
      </w:pPr>
      <w:r w:rsidRPr="003D69E4">
        <w:rPr>
          <w:b/>
        </w:rPr>
        <w:t>Vyznačiť právoplatnosť na Rozhodnutí o odkázanosti na soc. službu (buď po 30 dňoch odo dňa doručenia, prípadne sa žiadateľ vzdá práva na odvolanie a v tom prípade sa Rozhodnutie stáva právoplatným)</w:t>
      </w:r>
    </w:p>
    <w:p w:rsidR="003D69E4" w:rsidRDefault="003D69E4" w:rsidP="006A4C7C">
      <w:pPr>
        <w:pStyle w:val="Odsekzoznamu"/>
        <w:numPr>
          <w:ilvl w:val="0"/>
          <w:numId w:val="4"/>
        </w:numPr>
        <w:jc w:val="both"/>
        <w:rPr>
          <w:b/>
        </w:rPr>
      </w:pPr>
      <w:r w:rsidRPr="003D69E4">
        <w:rPr>
          <w:b/>
        </w:rPr>
        <w:t>Doručiť Žiadosť o zabezpečenie soc. služby konkrétnemu zariadeniu, o ktoré má žiadateľ záujem alebo VÚC</w:t>
      </w: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p w:rsidR="009132D9" w:rsidRDefault="009132D9" w:rsidP="009132D9">
      <w:pPr>
        <w:jc w:val="both"/>
        <w:rPr>
          <w:b/>
        </w:rPr>
      </w:pPr>
    </w:p>
    <w:tbl>
      <w:tblPr>
        <w:tblStyle w:val="Mriekatabuky"/>
        <w:tblW w:w="0" w:type="auto"/>
        <w:tblLook w:val="04A0" w:firstRow="1" w:lastRow="0" w:firstColumn="1" w:lastColumn="0" w:noHBand="0" w:noVBand="1"/>
      </w:tblPr>
      <w:tblGrid>
        <w:gridCol w:w="3227"/>
        <w:gridCol w:w="3118"/>
        <w:gridCol w:w="3261"/>
        <w:gridCol w:w="3402"/>
        <w:gridCol w:w="1136"/>
      </w:tblGrid>
      <w:tr w:rsidR="001B7AED" w:rsidTr="00AF7FEE">
        <w:tc>
          <w:tcPr>
            <w:tcW w:w="3227" w:type="dxa"/>
          </w:tcPr>
          <w:p w:rsidR="00AF7FEE" w:rsidRPr="00F569FC" w:rsidRDefault="00AF7FEE" w:rsidP="00F569FC">
            <w:bookmarkStart w:id="0" w:name="_GoBack"/>
            <w:bookmarkEnd w:id="0"/>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AF7FEE">
            <w:pPr>
              <w:jc w:val="both"/>
              <w:rPr>
                <w:b/>
              </w:rPr>
            </w:pPr>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AF7FEE">
            <w:pPr>
              <w:jc w:val="both"/>
              <w:rPr>
                <w:b/>
              </w:rPr>
            </w:pPr>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AF7FEE">
            <w:pPr>
              <w:jc w:val="both"/>
              <w:rPr>
                <w:b/>
              </w:rPr>
            </w:pPr>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AF7FEE">
            <w:pPr>
              <w:jc w:val="both"/>
              <w:rPr>
                <w:b/>
              </w:rPr>
            </w:pPr>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AF7FEE">
            <w:pPr>
              <w:jc w:val="both"/>
              <w:rPr>
                <w:b/>
              </w:rPr>
            </w:pPr>
          </w:p>
        </w:tc>
        <w:tc>
          <w:tcPr>
            <w:tcW w:w="3118" w:type="dxa"/>
          </w:tcPr>
          <w:p w:rsidR="001B7AED" w:rsidRDefault="001B7AED" w:rsidP="00AF7FEE">
            <w:pPr>
              <w:jc w:val="both"/>
              <w:rPr>
                <w:b/>
              </w:rPr>
            </w:pPr>
          </w:p>
        </w:tc>
        <w:tc>
          <w:tcPr>
            <w:tcW w:w="3261" w:type="dxa"/>
          </w:tcPr>
          <w:p w:rsidR="001B7AED" w:rsidRDefault="001B7AED" w:rsidP="00AF7FEE">
            <w:pPr>
              <w:jc w:val="both"/>
              <w:rPr>
                <w:b/>
              </w:rPr>
            </w:pPr>
          </w:p>
        </w:tc>
        <w:tc>
          <w:tcPr>
            <w:tcW w:w="3402" w:type="dxa"/>
          </w:tcPr>
          <w:p w:rsidR="001B7AED" w:rsidRDefault="001B7AED" w:rsidP="00AF7FEE">
            <w:pPr>
              <w:jc w:val="both"/>
              <w:rPr>
                <w:b/>
              </w:rPr>
            </w:pPr>
          </w:p>
        </w:tc>
        <w:tc>
          <w:tcPr>
            <w:tcW w:w="1136" w:type="dxa"/>
          </w:tcPr>
          <w:p w:rsidR="001B7AED" w:rsidRDefault="001B7AED" w:rsidP="009132D9">
            <w:pPr>
              <w:jc w:val="both"/>
              <w:rPr>
                <w:b/>
              </w:rPr>
            </w:pPr>
          </w:p>
        </w:tc>
      </w:tr>
      <w:tr w:rsidR="001B7AED" w:rsidTr="00AF7FEE">
        <w:tc>
          <w:tcPr>
            <w:tcW w:w="3227" w:type="dxa"/>
          </w:tcPr>
          <w:p w:rsidR="001B7AED" w:rsidRDefault="001B7AED" w:rsidP="009132D9">
            <w:pPr>
              <w:jc w:val="both"/>
              <w:rPr>
                <w:b/>
              </w:rPr>
            </w:pPr>
          </w:p>
        </w:tc>
        <w:tc>
          <w:tcPr>
            <w:tcW w:w="3118" w:type="dxa"/>
          </w:tcPr>
          <w:p w:rsidR="001B7AED" w:rsidRDefault="001B7AED" w:rsidP="009132D9">
            <w:pPr>
              <w:jc w:val="both"/>
              <w:rPr>
                <w:b/>
              </w:rPr>
            </w:pPr>
          </w:p>
        </w:tc>
        <w:tc>
          <w:tcPr>
            <w:tcW w:w="3261" w:type="dxa"/>
          </w:tcPr>
          <w:p w:rsidR="001B7AED" w:rsidRDefault="001B7AED" w:rsidP="009132D9">
            <w:pPr>
              <w:jc w:val="both"/>
              <w:rPr>
                <w:b/>
              </w:rPr>
            </w:pPr>
          </w:p>
        </w:tc>
        <w:tc>
          <w:tcPr>
            <w:tcW w:w="3402" w:type="dxa"/>
          </w:tcPr>
          <w:p w:rsidR="001B7AED" w:rsidRDefault="001B7AED" w:rsidP="009132D9">
            <w:pPr>
              <w:jc w:val="both"/>
              <w:rPr>
                <w:b/>
              </w:rPr>
            </w:pPr>
          </w:p>
        </w:tc>
        <w:tc>
          <w:tcPr>
            <w:tcW w:w="1136" w:type="dxa"/>
          </w:tcPr>
          <w:p w:rsidR="001B7AED" w:rsidRDefault="001B7AED" w:rsidP="009132D9">
            <w:pPr>
              <w:jc w:val="both"/>
              <w:rPr>
                <w:b/>
              </w:rPr>
            </w:pPr>
          </w:p>
        </w:tc>
      </w:tr>
    </w:tbl>
    <w:p w:rsidR="009132D9" w:rsidRPr="009132D9" w:rsidRDefault="009132D9" w:rsidP="009132D9">
      <w:pPr>
        <w:jc w:val="both"/>
        <w:rPr>
          <w:b/>
        </w:rPr>
      </w:pPr>
    </w:p>
    <w:p w:rsidR="003D69E4" w:rsidRPr="003D69E4" w:rsidRDefault="003D69E4" w:rsidP="006A4C7C">
      <w:pPr>
        <w:pStyle w:val="Odsekzoznamu"/>
        <w:ind w:left="1080"/>
        <w:jc w:val="both"/>
        <w:rPr>
          <w:b/>
        </w:rPr>
      </w:pPr>
    </w:p>
    <w:p w:rsidR="00812E90" w:rsidRDefault="00812E90" w:rsidP="006A4C7C">
      <w:pPr>
        <w:jc w:val="both"/>
      </w:pPr>
    </w:p>
    <w:p w:rsidR="005B1BA9" w:rsidRDefault="005B1BA9" w:rsidP="006A4C7C">
      <w:pPr>
        <w:jc w:val="both"/>
      </w:pPr>
    </w:p>
    <w:tbl>
      <w:tblPr>
        <w:tblW w:w="14250" w:type="dxa"/>
        <w:shd w:val="clear" w:color="auto" w:fill="FFFFFF"/>
        <w:tblCellMar>
          <w:left w:w="0" w:type="dxa"/>
          <w:right w:w="0" w:type="dxa"/>
        </w:tblCellMar>
        <w:tblLook w:val="04A0" w:firstRow="1" w:lastRow="0" w:firstColumn="1" w:lastColumn="0" w:noHBand="0" w:noVBand="1"/>
      </w:tblPr>
      <w:tblGrid>
        <w:gridCol w:w="3515"/>
        <w:gridCol w:w="163"/>
        <w:gridCol w:w="10572"/>
      </w:tblGrid>
      <w:tr w:rsidR="00FB0CAD" w:rsidRPr="00FB0CAD" w:rsidTr="00E2759E">
        <w:trPr>
          <w:gridAfter w:val="2"/>
          <w:wAfter w:w="10735" w:type="dxa"/>
          <w:trHeight w:val="440"/>
        </w:trPr>
        <w:tc>
          <w:tcPr>
            <w:tcW w:w="0" w:type="auto"/>
            <w:tcBorders>
              <w:top w:val="nil"/>
              <w:left w:val="nil"/>
              <w:bottom w:val="nil"/>
              <w:right w:val="nil"/>
            </w:tcBorders>
            <w:shd w:val="clear" w:color="auto" w:fill="auto"/>
            <w:tcMar>
              <w:top w:w="0" w:type="dxa"/>
              <w:left w:w="1500" w:type="dxa"/>
              <w:bottom w:w="0" w:type="dxa"/>
              <w:right w:w="600" w:type="dxa"/>
            </w:tcMar>
            <w:hideMark/>
          </w:tcPr>
          <w:p w:rsidR="00FB0CAD" w:rsidRPr="00FB0CAD" w:rsidRDefault="00FB0CAD" w:rsidP="006A4C7C">
            <w:pPr>
              <w:spacing w:after="0" w:line="330" w:lineRule="atLeast"/>
              <w:jc w:val="both"/>
              <w:outlineLvl w:val="2"/>
              <w:rPr>
                <w:rFonts w:ascii="Arial" w:eastAsia="Times New Roman" w:hAnsi="Arial" w:cs="Arial"/>
                <w:b/>
                <w:bCs/>
                <w:color w:val="08A8F8"/>
                <w:lang w:eastAsia="sk-SK"/>
              </w:rPr>
            </w:pPr>
          </w:p>
        </w:tc>
      </w:tr>
      <w:tr w:rsidR="00FB0CAD" w:rsidRPr="00FB0CAD" w:rsidTr="00E2759E">
        <w:trPr>
          <w:trHeight w:val="600"/>
        </w:trPr>
        <w:tc>
          <w:tcPr>
            <w:tcW w:w="3515" w:type="dxa"/>
            <w:tcBorders>
              <w:top w:val="nil"/>
              <w:left w:val="nil"/>
              <w:bottom w:val="nil"/>
              <w:right w:val="nil"/>
            </w:tcBorders>
            <w:shd w:val="clear" w:color="auto" w:fill="FFFFFF"/>
            <w:vAlign w:val="center"/>
            <w:hideMark/>
          </w:tcPr>
          <w:p w:rsidR="00FB0CAD" w:rsidRPr="00FB0CAD" w:rsidRDefault="00FB0CAD" w:rsidP="006A4C7C">
            <w:pPr>
              <w:spacing w:after="0" w:line="240" w:lineRule="auto"/>
              <w:jc w:val="both"/>
              <w:rPr>
                <w:rFonts w:ascii="Arial" w:eastAsia="Times New Roman" w:hAnsi="Arial" w:cs="Arial"/>
                <w:b/>
                <w:bCs/>
                <w:color w:val="000000"/>
                <w:sz w:val="20"/>
                <w:szCs w:val="20"/>
                <w:lang w:eastAsia="sk-SK"/>
              </w:rPr>
            </w:pPr>
          </w:p>
        </w:tc>
        <w:tc>
          <w:tcPr>
            <w:tcW w:w="0" w:type="auto"/>
            <w:gridSpan w:val="2"/>
            <w:tcBorders>
              <w:top w:val="nil"/>
              <w:left w:val="nil"/>
              <w:bottom w:val="nil"/>
              <w:right w:val="nil"/>
            </w:tcBorders>
            <w:shd w:val="clear" w:color="auto" w:fill="auto"/>
            <w:tcMar>
              <w:top w:w="0" w:type="dxa"/>
              <w:left w:w="1500" w:type="dxa"/>
              <w:bottom w:w="0" w:type="dxa"/>
              <w:right w:w="600" w:type="dxa"/>
            </w:tcMar>
            <w:hideMark/>
          </w:tcPr>
          <w:p w:rsidR="00FB0CAD" w:rsidRPr="00FB0CAD" w:rsidRDefault="00FB0CAD" w:rsidP="006A4C7C">
            <w:pPr>
              <w:spacing w:after="0" w:line="240" w:lineRule="auto"/>
              <w:jc w:val="both"/>
              <w:rPr>
                <w:rFonts w:ascii="Arial" w:eastAsia="Times New Roman" w:hAnsi="Arial" w:cs="Arial"/>
                <w:color w:val="000000"/>
                <w:sz w:val="20"/>
                <w:szCs w:val="20"/>
                <w:lang w:eastAsia="sk-SK"/>
              </w:rPr>
            </w:pPr>
          </w:p>
        </w:tc>
      </w:tr>
      <w:tr w:rsidR="00FB0CAD" w:rsidRPr="00FB0CAD" w:rsidTr="00E2759E">
        <w:trPr>
          <w:trHeight w:val="360"/>
        </w:trPr>
        <w:tc>
          <w:tcPr>
            <w:tcW w:w="3515" w:type="dxa"/>
            <w:tcBorders>
              <w:top w:val="nil"/>
              <w:left w:val="nil"/>
              <w:bottom w:val="nil"/>
              <w:right w:val="nil"/>
            </w:tcBorders>
            <w:shd w:val="clear" w:color="auto" w:fill="FFFFFF"/>
            <w:vAlign w:val="center"/>
            <w:hideMark/>
          </w:tcPr>
          <w:p w:rsidR="00FB0CAD" w:rsidRPr="00FB0CAD" w:rsidRDefault="00FB0CAD" w:rsidP="006A4C7C">
            <w:pPr>
              <w:spacing w:after="0" w:line="240" w:lineRule="auto"/>
              <w:jc w:val="both"/>
              <w:rPr>
                <w:rFonts w:ascii="Arial" w:eastAsia="Times New Roman" w:hAnsi="Arial" w:cs="Arial"/>
                <w:b/>
                <w:bCs/>
                <w:color w:val="000000"/>
                <w:sz w:val="20"/>
                <w:szCs w:val="20"/>
                <w:lang w:eastAsia="sk-SK"/>
              </w:rPr>
            </w:pPr>
          </w:p>
        </w:tc>
        <w:tc>
          <w:tcPr>
            <w:tcW w:w="0" w:type="auto"/>
            <w:gridSpan w:val="2"/>
            <w:tcBorders>
              <w:top w:val="nil"/>
              <w:left w:val="nil"/>
              <w:bottom w:val="nil"/>
              <w:right w:val="nil"/>
            </w:tcBorders>
            <w:shd w:val="clear" w:color="auto" w:fill="auto"/>
            <w:tcMar>
              <w:top w:w="0" w:type="dxa"/>
              <w:left w:w="1770" w:type="dxa"/>
              <w:bottom w:w="0" w:type="dxa"/>
              <w:right w:w="600" w:type="dxa"/>
            </w:tcMar>
            <w:hideMark/>
          </w:tcPr>
          <w:p w:rsidR="00FB0CAD" w:rsidRPr="00FB0CAD" w:rsidRDefault="00FB0CAD" w:rsidP="006A4C7C">
            <w:pPr>
              <w:spacing w:after="0" w:line="240" w:lineRule="auto"/>
              <w:jc w:val="both"/>
              <w:rPr>
                <w:rFonts w:ascii="Arial" w:eastAsia="Times New Roman" w:hAnsi="Arial" w:cs="Arial"/>
                <w:color w:val="000000"/>
                <w:sz w:val="20"/>
                <w:szCs w:val="20"/>
                <w:lang w:eastAsia="sk-SK"/>
              </w:rPr>
            </w:pPr>
          </w:p>
        </w:tc>
      </w:tr>
      <w:tr w:rsidR="00FB0CAD" w:rsidRPr="00FB0CAD" w:rsidTr="00E2759E">
        <w:trPr>
          <w:trHeight w:val="360"/>
        </w:trPr>
        <w:tc>
          <w:tcPr>
            <w:tcW w:w="3515" w:type="dxa"/>
            <w:tcBorders>
              <w:top w:val="nil"/>
              <w:left w:val="nil"/>
              <w:bottom w:val="nil"/>
              <w:right w:val="nil"/>
            </w:tcBorders>
            <w:shd w:val="clear" w:color="auto" w:fill="FFFFFF"/>
            <w:vAlign w:val="center"/>
            <w:hideMark/>
          </w:tcPr>
          <w:p w:rsidR="00FB0CAD" w:rsidRPr="00FB0CAD" w:rsidRDefault="00FB0CAD" w:rsidP="006A4C7C">
            <w:pPr>
              <w:spacing w:after="0" w:line="240" w:lineRule="auto"/>
              <w:jc w:val="both"/>
              <w:rPr>
                <w:rFonts w:ascii="Arial" w:eastAsia="Times New Roman" w:hAnsi="Arial" w:cs="Arial"/>
                <w:b/>
                <w:bCs/>
                <w:color w:val="000000"/>
                <w:sz w:val="20"/>
                <w:szCs w:val="20"/>
                <w:lang w:eastAsia="sk-SK"/>
              </w:rPr>
            </w:pPr>
          </w:p>
        </w:tc>
        <w:tc>
          <w:tcPr>
            <w:tcW w:w="0" w:type="auto"/>
            <w:gridSpan w:val="2"/>
            <w:tcBorders>
              <w:top w:val="nil"/>
              <w:left w:val="nil"/>
              <w:bottom w:val="nil"/>
              <w:right w:val="nil"/>
            </w:tcBorders>
            <w:shd w:val="clear" w:color="auto" w:fill="auto"/>
            <w:tcMar>
              <w:top w:w="0" w:type="dxa"/>
              <w:left w:w="1770" w:type="dxa"/>
              <w:bottom w:w="0" w:type="dxa"/>
              <w:right w:w="600" w:type="dxa"/>
            </w:tcMar>
            <w:hideMark/>
          </w:tcPr>
          <w:p w:rsidR="00FB0CAD" w:rsidRPr="00FB0CAD" w:rsidRDefault="00FB0CAD" w:rsidP="006A4C7C">
            <w:pPr>
              <w:spacing w:after="0" w:line="240" w:lineRule="auto"/>
              <w:jc w:val="both"/>
              <w:rPr>
                <w:rFonts w:ascii="Arial" w:eastAsia="Times New Roman" w:hAnsi="Arial" w:cs="Arial"/>
                <w:color w:val="000000"/>
                <w:sz w:val="20"/>
                <w:szCs w:val="20"/>
                <w:lang w:eastAsia="sk-SK"/>
              </w:rPr>
            </w:pPr>
          </w:p>
        </w:tc>
      </w:tr>
      <w:tr w:rsidR="00FB0CAD" w:rsidRPr="00FB0CAD" w:rsidTr="00E2759E">
        <w:trPr>
          <w:gridAfter w:val="1"/>
          <w:trHeight w:val="440"/>
        </w:trPr>
        <w:tc>
          <w:tcPr>
            <w:tcW w:w="0" w:type="auto"/>
            <w:gridSpan w:val="2"/>
            <w:tcBorders>
              <w:top w:val="nil"/>
              <w:left w:val="nil"/>
              <w:bottom w:val="nil"/>
              <w:right w:val="nil"/>
            </w:tcBorders>
            <w:shd w:val="clear" w:color="auto" w:fill="auto"/>
            <w:tcMar>
              <w:top w:w="0" w:type="dxa"/>
              <w:left w:w="1500" w:type="dxa"/>
              <w:bottom w:w="0" w:type="dxa"/>
              <w:right w:w="600" w:type="dxa"/>
            </w:tcMar>
            <w:hideMark/>
          </w:tcPr>
          <w:p w:rsidR="00FB0CAD" w:rsidRPr="00FB0CAD" w:rsidRDefault="00FB0CAD" w:rsidP="006A4C7C">
            <w:pPr>
              <w:spacing w:after="0" w:line="330" w:lineRule="atLeast"/>
              <w:jc w:val="both"/>
              <w:outlineLvl w:val="2"/>
              <w:rPr>
                <w:rFonts w:ascii="Arial" w:eastAsia="Times New Roman" w:hAnsi="Arial" w:cs="Arial"/>
                <w:b/>
                <w:bCs/>
                <w:color w:val="08A8F8"/>
                <w:lang w:eastAsia="sk-SK"/>
              </w:rPr>
            </w:pPr>
          </w:p>
        </w:tc>
      </w:tr>
      <w:tr w:rsidR="00FB0CAD" w:rsidRPr="00FB0CAD" w:rsidTr="00E2759E">
        <w:trPr>
          <w:trHeight w:val="1080"/>
        </w:trPr>
        <w:tc>
          <w:tcPr>
            <w:tcW w:w="3678" w:type="dxa"/>
            <w:gridSpan w:val="2"/>
            <w:tcBorders>
              <w:top w:val="nil"/>
              <w:left w:val="nil"/>
              <w:bottom w:val="nil"/>
              <w:right w:val="nil"/>
            </w:tcBorders>
            <w:shd w:val="clear" w:color="auto" w:fill="FFFFFF"/>
            <w:vAlign w:val="center"/>
            <w:hideMark/>
          </w:tcPr>
          <w:p w:rsidR="00FB0CAD" w:rsidRPr="00FB0CAD" w:rsidRDefault="00FB0CAD" w:rsidP="006A4C7C">
            <w:pPr>
              <w:spacing w:after="0" w:line="240" w:lineRule="auto"/>
              <w:jc w:val="both"/>
              <w:rPr>
                <w:rFonts w:ascii="Arial" w:eastAsia="Times New Roman" w:hAnsi="Arial" w:cs="Arial"/>
                <w:b/>
                <w:bCs/>
                <w:color w:val="000000"/>
                <w:sz w:val="20"/>
                <w:szCs w:val="20"/>
                <w:lang w:eastAsia="sk-SK"/>
              </w:rPr>
            </w:pPr>
          </w:p>
        </w:tc>
        <w:tc>
          <w:tcPr>
            <w:tcW w:w="0" w:type="auto"/>
            <w:tcBorders>
              <w:top w:val="nil"/>
              <w:left w:val="nil"/>
              <w:bottom w:val="nil"/>
              <w:right w:val="nil"/>
            </w:tcBorders>
            <w:shd w:val="clear" w:color="auto" w:fill="auto"/>
            <w:tcMar>
              <w:top w:w="0" w:type="dxa"/>
              <w:left w:w="1500" w:type="dxa"/>
              <w:bottom w:w="0" w:type="dxa"/>
              <w:right w:w="600" w:type="dxa"/>
            </w:tcMar>
            <w:hideMark/>
          </w:tcPr>
          <w:p w:rsidR="00FB0CAD" w:rsidRPr="00FB0CAD" w:rsidRDefault="00FB0CAD" w:rsidP="006A4C7C">
            <w:pPr>
              <w:spacing w:after="0" w:line="240" w:lineRule="auto"/>
              <w:jc w:val="both"/>
              <w:rPr>
                <w:rFonts w:ascii="Arial" w:eastAsia="Times New Roman" w:hAnsi="Arial" w:cs="Arial"/>
                <w:color w:val="000000"/>
                <w:sz w:val="20"/>
                <w:szCs w:val="20"/>
                <w:lang w:eastAsia="sk-SK"/>
              </w:rPr>
            </w:pPr>
          </w:p>
        </w:tc>
      </w:tr>
    </w:tbl>
    <w:p w:rsidR="00FB0CAD" w:rsidRDefault="00FB0CAD" w:rsidP="006A4C7C">
      <w:pPr>
        <w:jc w:val="both"/>
      </w:pPr>
    </w:p>
    <w:p w:rsidR="00FB0CAD" w:rsidRDefault="00FB0CAD" w:rsidP="006A4C7C">
      <w:pPr>
        <w:jc w:val="both"/>
      </w:pPr>
    </w:p>
    <w:sectPr w:rsidR="00FB0CAD" w:rsidSect="00FB0C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685B"/>
    <w:multiLevelType w:val="hybridMultilevel"/>
    <w:tmpl w:val="12768B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C9214B1"/>
    <w:multiLevelType w:val="hybridMultilevel"/>
    <w:tmpl w:val="6888B69A"/>
    <w:lvl w:ilvl="0" w:tplc="BD68B1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11505A8"/>
    <w:multiLevelType w:val="hybridMultilevel"/>
    <w:tmpl w:val="778E02CC"/>
    <w:lvl w:ilvl="0" w:tplc="B518DE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EDD3F85"/>
    <w:multiLevelType w:val="hybridMultilevel"/>
    <w:tmpl w:val="656AFD8A"/>
    <w:lvl w:ilvl="0" w:tplc="FE3E2EA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8642E"/>
    <w:rsid w:val="00022990"/>
    <w:rsid w:val="000B639C"/>
    <w:rsid w:val="001B7AED"/>
    <w:rsid w:val="002B71D3"/>
    <w:rsid w:val="002C6B81"/>
    <w:rsid w:val="00330E30"/>
    <w:rsid w:val="003D69E4"/>
    <w:rsid w:val="00401F6C"/>
    <w:rsid w:val="00415A71"/>
    <w:rsid w:val="00466377"/>
    <w:rsid w:val="00490102"/>
    <w:rsid w:val="00585562"/>
    <w:rsid w:val="005B1BA9"/>
    <w:rsid w:val="00654C44"/>
    <w:rsid w:val="006A4C7C"/>
    <w:rsid w:val="006D741A"/>
    <w:rsid w:val="00755A37"/>
    <w:rsid w:val="0078507A"/>
    <w:rsid w:val="007D1515"/>
    <w:rsid w:val="00812E90"/>
    <w:rsid w:val="00892992"/>
    <w:rsid w:val="009132D9"/>
    <w:rsid w:val="00AA1542"/>
    <w:rsid w:val="00AF7FEE"/>
    <w:rsid w:val="00B67E15"/>
    <w:rsid w:val="00CB05C5"/>
    <w:rsid w:val="00CC5002"/>
    <w:rsid w:val="00D8642E"/>
    <w:rsid w:val="00E73A5C"/>
    <w:rsid w:val="00F27FF9"/>
    <w:rsid w:val="00F569FC"/>
    <w:rsid w:val="00FB0CAD"/>
    <w:rsid w:val="00FB4B71"/>
    <w:rsid w:val="00FF6D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584F6-86B1-4F44-B365-138CDA2F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71D3"/>
  </w:style>
  <w:style w:type="paragraph" w:styleId="Nadpis3">
    <w:name w:val="heading 3"/>
    <w:basedOn w:val="Normlny"/>
    <w:link w:val="Nadpis3Char"/>
    <w:uiPriority w:val="9"/>
    <w:qFormat/>
    <w:rsid w:val="00FB0CAD"/>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A1542"/>
    <w:pPr>
      <w:ind w:left="720"/>
      <w:contextualSpacing/>
    </w:pPr>
  </w:style>
  <w:style w:type="character" w:customStyle="1" w:styleId="Nadpis3Char">
    <w:name w:val="Nadpis 3 Char"/>
    <w:basedOn w:val="Predvolenpsmoodseku"/>
    <w:link w:val="Nadpis3"/>
    <w:uiPriority w:val="9"/>
    <w:rsid w:val="00FB0CAD"/>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FB0CA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FB0CAD"/>
    <w:rPr>
      <w:i/>
      <w:iCs/>
    </w:rPr>
  </w:style>
  <w:style w:type="character" w:customStyle="1" w:styleId="apple-converted-space">
    <w:name w:val="apple-converted-space"/>
    <w:basedOn w:val="Predvolenpsmoodseku"/>
    <w:rsid w:val="00FB0CAD"/>
  </w:style>
  <w:style w:type="table" w:styleId="Mriekatabuky">
    <w:name w:val="Table Grid"/>
    <w:basedOn w:val="Normlnatabuka"/>
    <w:uiPriority w:val="59"/>
    <w:rsid w:val="001B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5950">
      <w:bodyDiv w:val="1"/>
      <w:marLeft w:val="0"/>
      <w:marRight w:val="0"/>
      <w:marTop w:val="0"/>
      <w:marBottom w:val="0"/>
      <w:divBdr>
        <w:top w:val="none" w:sz="0" w:space="0" w:color="auto"/>
        <w:left w:val="none" w:sz="0" w:space="0" w:color="auto"/>
        <w:bottom w:val="none" w:sz="0" w:space="0" w:color="auto"/>
        <w:right w:val="none" w:sz="0" w:space="0" w:color="auto"/>
      </w:divBdr>
    </w:div>
    <w:div w:id="1111170318">
      <w:bodyDiv w:val="1"/>
      <w:marLeft w:val="0"/>
      <w:marRight w:val="0"/>
      <w:marTop w:val="0"/>
      <w:marBottom w:val="0"/>
      <w:divBdr>
        <w:top w:val="none" w:sz="0" w:space="0" w:color="auto"/>
        <w:left w:val="none" w:sz="0" w:space="0" w:color="auto"/>
        <w:bottom w:val="none" w:sz="0" w:space="0" w:color="auto"/>
        <w:right w:val="none" w:sz="0" w:space="0" w:color="auto"/>
      </w:divBdr>
    </w:div>
    <w:div w:id="1679045284">
      <w:bodyDiv w:val="1"/>
      <w:marLeft w:val="0"/>
      <w:marRight w:val="0"/>
      <w:marTop w:val="0"/>
      <w:marBottom w:val="0"/>
      <w:divBdr>
        <w:top w:val="none" w:sz="0" w:space="0" w:color="auto"/>
        <w:left w:val="none" w:sz="0" w:space="0" w:color="auto"/>
        <w:bottom w:val="none" w:sz="0" w:space="0" w:color="auto"/>
        <w:right w:val="none" w:sz="0" w:space="0" w:color="auto"/>
      </w:divBdr>
    </w:div>
    <w:div w:id="1710105942">
      <w:bodyDiv w:val="1"/>
      <w:marLeft w:val="0"/>
      <w:marRight w:val="0"/>
      <w:marTop w:val="0"/>
      <w:marBottom w:val="0"/>
      <w:divBdr>
        <w:top w:val="none" w:sz="0" w:space="0" w:color="auto"/>
        <w:left w:val="none" w:sz="0" w:space="0" w:color="auto"/>
        <w:bottom w:val="none" w:sz="0" w:space="0" w:color="auto"/>
        <w:right w:val="none" w:sz="0" w:space="0" w:color="auto"/>
      </w:divBdr>
    </w:div>
    <w:div w:id="18790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Dostojnost Kunová</cp:lastModifiedBy>
  <cp:revision>3</cp:revision>
  <cp:lastPrinted>2017-03-08T08:01:00Z</cp:lastPrinted>
  <dcterms:created xsi:type="dcterms:W3CDTF">2017-06-19T10:10:00Z</dcterms:created>
  <dcterms:modified xsi:type="dcterms:W3CDTF">2017-06-19T10:12:00Z</dcterms:modified>
</cp:coreProperties>
</file>